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357F" w14:textId="77777777" w:rsidR="00AD2498" w:rsidRPr="008E2FF4" w:rsidRDefault="00411935" w:rsidP="008E2FF4">
      <w:pPr>
        <w:jc w:val="center"/>
        <w:rPr>
          <w:sz w:val="24"/>
          <w:szCs w:val="24"/>
        </w:rPr>
      </w:pPr>
      <w:r w:rsidRPr="008E2FF4">
        <w:rPr>
          <w:sz w:val="24"/>
          <w:szCs w:val="24"/>
        </w:rPr>
        <w:t>HIGHLAND COMMUNITY COLLEGE</w:t>
      </w:r>
    </w:p>
    <w:p w14:paraId="58091E08" w14:textId="77777777" w:rsidR="00411935" w:rsidRPr="008E2FF4" w:rsidRDefault="00411935" w:rsidP="008E2FF4">
      <w:pPr>
        <w:jc w:val="center"/>
        <w:rPr>
          <w:sz w:val="24"/>
          <w:szCs w:val="24"/>
        </w:rPr>
      </w:pPr>
      <w:r w:rsidRPr="008E2FF4">
        <w:rPr>
          <w:sz w:val="24"/>
          <w:szCs w:val="24"/>
        </w:rPr>
        <w:t>ADMINISTRATIVE AND CLASSIFIED POLICY</w:t>
      </w:r>
    </w:p>
    <w:p w14:paraId="70D1EB06" w14:textId="77777777" w:rsidR="00411935" w:rsidRPr="008E2FF4" w:rsidRDefault="00411935">
      <w:pPr>
        <w:rPr>
          <w:sz w:val="24"/>
          <w:szCs w:val="24"/>
        </w:rPr>
      </w:pPr>
    </w:p>
    <w:p w14:paraId="40324861" w14:textId="77777777" w:rsidR="00411935" w:rsidRPr="008E2FF4" w:rsidRDefault="00411935">
      <w:pPr>
        <w:rPr>
          <w:sz w:val="24"/>
          <w:szCs w:val="24"/>
        </w:rPr>
      </w:pPr>
      <w:r w:rsidRPr="008E2FF4">
        <w:rPr>
          <w:sz w:val="24"/>
          <w:szCs w:val="24"/>
        </w:rPr>
        <w:t>SUBJECT:  Tuition Assistance</w:t>
      </w:r>
      <w:r w:rsidRPr="008E2FF4">
        <w:rPr>
          <w:sz w:val="24"/>
          <w:szCs w:val="24"/>
        </w:rPr>
        <w:tab/>
      </w:r>
      <w:r w:rsidRPr="008E2FF4">
        <w:rPr>
          <w:sz w:val="24"/>
          <w:szCs w:val="24"/>
        </w:rPr>
        <w:tab/>
      </w:r>
      <w:r w:rsidRPr="008E2FF4">
        <w:rPr>
          <w:sz w:val="24"/>
          <w:szCs w:val="24"/>
        </w:rPr>
        <w:tab/>
      </w:r>
      <w:r w:rsidRPr="008E2FF4">
        <w:rPr>
          <w:sz w:val="24"/>
          <w:szCs w:val="24"/>
        </w:rPr>
        <w:tab/>
      </w:r>
      <w:r w:rsidRPr="008E2FF4">
        <w:rPr>
          <w:sz w:val="24"/>
          <w:szCs w:val="24"/>
        </w:rPr>
        <w:tab/>
      </w:r>
      <w:r w:rsidRPr="008E2FF4">
        <w:rPr>
          <w:sz w:val="24"/>
          <w:szCs w:val="24"/>
        </w:rPr>
        <w:tab/>
      </w:r>
      <w:r w:rsidRPr="008E2FF4">
        <w:rPr>
          <w:sz w:val="24"/>
          <w:szCs w:val="24"/>
        </w:rPr>
        <w:tab/>
      </w:r>
      <w:r w:rsidRPr="008E2FF4">
        <w:rPr>
          <w:sz w:val="24"/>
          <w:szCs w:val="24"/>
        </w:rPr>
        <w:tab/>
      </w:r>
      <w:r w:rsidR="002D1F4C">
        <w:rPr>
          <w:sz w:val="24"/>
          <w:szCs w:val="24"/>
        </w:rPr>
        <w:t xml:space="preserve">      </w:t>
      </w:r>
      <w:r w:rsidR="000713C0">
        <w:rPr>
          <w:sz w:val="24"/>
          <w:szCs w:val="24"/>
        </w:rPr>
        <w:tab/>
      </w:r>
      <w:r w:rsidR="000713C0">
        <w:rPr>
          <w:sz w:val="24"/>
          <w:szCs w:val="24"/>
        </w:rPr>
        <w:tab/>
      </w:r>
      <w:r w:rsidR="0010604E">
        <w:rPr>
          <w:sz w:val="24"/>
          <w:szCs w:val="24"/>
        </w:rPr>
        <w:t xml:space="preserve">    </w:t>
      </w:r>
      <w:r w:rsidRPr="008E2FF4">
        <w:rPr>
          <w:sz w:val="24"/>
          <w:szCs w:val="24"/>
        </w:rPr>
        <w:t>Page 1 of 1</w:t>
      </w:r>
    </w:p>
    <w:p w14:paraId="640F8D2C" w14:textId="77777777" w:rsidR="00411935" w:rsidRPr="008E2FF4" w:rsidRDefault="00411935">
      <w:pPr>
        <w:rPr>
          <w:sz w:val="24"/>
          <w:szCs w:val="24"/>
        </w:rPr>
      </w:pPr>
    </w:p>
    <w:p w14:paraId="43A7CC51" w14:textId="7A7AF610" w:rsidR="007421CB" w:rsidRDefault="00411935" w:rsidP="00415284">
      <w:pPr>
        <w:rPr>
          <w:sz w:val="24"/>
          <w:szCs w:val="24"/>
        </w:rPr>
      </w:pPr>
      <w:r w:rsidRPr="008E2FF4">
        <w:rPr>
          <w:sz w:val="24"/>
          <w:szCs w:val="24"/>
        </w:rPr>
        <w:t>BOA</w:t>
      </w:r>
      <w:r w:rsidR="00415284">
        <w:rPr>
          <w:sz w:val="24"/>
          <w:szCs w:val="24"/>
        </w:rPr>
        <w:t>RD OF TRUSTEE APPROVAL</w:t>
      </w:r>
      <w:proofErr w:type="gramStart"/>
      <w:r w:rsidR="00415284">
        <w:rPr>
          <w:sz w:val="24"/>
          <w:szCs w:val="24"/>
        </w:rPr>
        <w:t xml:space="preserve">: </w:t>
      </w:r>
      <w:r w:rsidR="007421CB">
        <w:rPr>
          <w:sz w:val="24"/>
          <w:szCs w:val="24"/>
        </w:rPr>
        <w:tab/>
      </w:r>
      <w:r w:rsidR="007421CB" w:rsidRPr="007421CB">
        <w:rPr>
          <w:sz w:val="24"/>
          <w:szCs w:val="24"/>
          <w:u w:val="single"/>
        </w:rPr>
        <w:t>July</w:t>
      </w:r>
      <w:proofErr w:type="gramEnd"/>
      <w:r w:rsidR="007421CB" w:rsidRPr="007421CB">
        <w:rPr>
          <w:sz w:val="24"/>
          <w:szCs w:val="24"/>
          <w:u w:val="single"/>
        </w:rPr>
        <w:t xml:space="preserve"> 31, 2013</w:t>
      </w:r>
      <w:r w:rsidR="007421CB">
        <w:rPr>
          <w:sz w:val="24"/>
          <w:szCs w:val="24"/>
        </w:rPr>
        <w:t>__</w:t>
      </w:r>
      <w:proofErr w:type="gramStart"/>
      <w:r w:rsidR="007421CB">
        <w:rPr>
          <w:sz w:val="24"/>
          <w:szCs w:val="24"/>
        </w:rPr>
        <w:t>_</w:t>
      </w:r>
      <w:r w:rsidR="007421CB">
        <w:rPr>
          <w:sz w:val="24"/>
          <w:szCs w:val="24"/>
        </w:rPr>
        <w:tab/>
      </w:r>
      <w:r w:rsidR="007421CB">
        <w:rPr>
          <w:sz w:val="24"/>
          <w:szCs w:val="24"/>
        </w:rPr>
        <w:tab/>
        <w:t>EFFECTIVE</w:t>
      </w:r>
      <w:proofErr w:type="gramEnd"/>
      <w:r w:rsidR="007421CB">
        <w:rPr>
          <w:sz w:val="24"/>
          <w:szCs w:val="24"/>
        </w:rPr>
        <w:t xml:space="preserve"> DATE: </w:t>
      </w:r>
      <w:r w:rsidR="007421CB" w:rsidRPr="007421CB">
        <w:rPr>
          <w:sz w:val="24"/>
          <w:szCs w:val="24"/>
          <w:u w:val="single"/>
        </w:rPr>
        <w:t>August 1, 2013</w:t>
      </w:r>
      <w:r w:rsidR="007421CB">
        <w:rPr>
          <w:sz w:val="24"/>
          <w:szCs w:val="24"/>
        </w:rPr>
        <w:t>__</w:t>
      </w:r>
      <w:r w:rsidR="007421CB">
        <w:rPr>
          <w:sz w:val="24"/>
          <w:szCs w:val="24"/>
        </w:rPr>
        <w:tab/>
      </w:r>
    </w:p>
    <w:p w14:paraId="17561885" w14:textId="7A4D1712" w:rsidR="00411935" w:rsidRDefault="007421CB" w:rsidP="007421CB">
      <w:pPr>
        <w:ind w:left="1440" w:firstLine="720"/>
        <w:rPr>
          <w:sz w:val="24"/>
          <w:szCs w:val="24"/>
          <w:u w:val="single"/>
        </w:rPr>
      </w:pPr>
      <w:r w:rsidRPr="007421CB">
        <w:rPr>
          <w:sz w:val="24"/>
          <w:szCs w:val="24"/>
        </w:rPr>
        <w:t xml:space="preserve"> REVISED:</w:t>
      </w:r>
      <w:r w:rsidRPr="007421CB">
        <w:rPr>
          <w:sz w:val="24"/>
          <w:szCs w:val="24"/>
        </w:rPr>
        <w:tab/>
      </w:r>
      <w:r w:rsidR="003C44D4" w:rsidRPr="003C44D4">
        <w:rPr>
          <w:sz w:val="24"/>
          <w:szCs w:val="24"/>
          <w:u w:val="single"/>
        </w:rPr>
        <w:t xml:space="preserve">October 22, </w:t>
      </w:r>
      <w:proofErr w:type="gramStart"/>
      <w:r w:rsidR="003C44D4" w:rsidRPr="003C44D4">
        <w:rPr>
          <w:sz w:val="24"/>
          <w:szCs w:val="24"/>
          <w:u w:val="single"/>
        </w:rPr>
        <w:t>2014</w:t>
      </w:r>
      <w:proofErr w:type="gramEnd"/>
      <w:r w:rsidR="003C44D4">
        <w:rPr>
          <w:sz w:val="24"/>
          <w:szCs w:val="24"/>
        </w:rPr>
        <w:tab/>
      </w:r>
      <w:r w:rsidR="00415284">
        <w:rPr>
          <w:sz w:val="24"/>
          <w:szCs w:val="24"/>
        </w:rPr>
        <w:tab/>
        <w:t xml:space="preserve">EFFECTIVE DATE: </w:t>
      </w:r>
      <w:r w:rsidR="003C44D4" w:rsidRPr="003C44D4">
        <w:rPr>
          <w:sz w:val="24"/>
          <w:szCs w:val="24"/>
          <w:u w:val="single"/>
        </w:rPr>
        <w:t>October 23, 2014</w:t>
      </w:r>
    </w:p>
    <w:p w14:paraId="1239127E" w14:textId="47351499" w:rsidR="00E63F58" w:rsidRDefault="00E63F58" w:rsidP="007421CB">
      <w:pPr>
        <w:ind w:left="1440"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REVISED: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December 17, </w:t>
      </w:r>
      <w:proofErr w:type="gramStart"/>
      <w:r>
        <w:rPr>
          <w:sz w:val="24"/>
          <w:szCs w:val="24"/>
          <w:u w:val="single"/>
        </w:rPr>
        <w:t>2024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EFFECTIVE DATE: </w:t>
      </w:r>
      <w:r>
        <w:rPr>
          <w:sz w:val="24"/>
          <w:szCs w:val="24"/>
          <w:u w:val="single"/>
        </w:rPr>
        <w:t>December 18, 2024</w:t>
      </w:r>
    </w:p>
    <w:p w14:paraId="4D3FFB09" w14:textId="44DEB8AD" w:rsidR="00F72A43" w:rsidRPr="00E63F58" w:rsidRDefault="00F72A43" w:rsidP="007421CB">
      <w:pPr>
        <w:ind w:left="1440" w:firstLine="720"/>
        <w:rPr>
          <w:sz w:val="24"/>
          <w:szCs w:val="24"/>
          <w:u w:val="single"/>
        </w:rPr>
      </w:pPr>
      <w:r>
        <w:rPr>
          <w:sz w:val="24"/>
          <w:szCs w:val="24"/>
        </w:rPr>
        <w:t>REVISED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201296" w:rsidRPr="00B92F3B">
        <w:rPr>
          <w:sz w:val="24"/>
          <w:szCs w:val="24"/>
          <w:u w:val="single"/>
        </w:rPr>
        <w:t>March</w:t>
      </w:r>
      <w:proofErr w:type="gramEnd"/>
      <w:r w:rsidR="00201296" w:rsidRPr="00B92F3B">
        <w:rPr>
          <w:sz w:val="24"/>
          <w:szCs w:val="24"/>
          <w:u w:val="single"/>
        </w:rPr>
        <w:t xml:space="preserve"> 25, </w:t>
      </w:r>
      <w:proofErr w:type="gramStart"/>
      <w:r w:rsidR="00201296" w:rsidRPr="00B92F3B">
        <w:rPr>
          <w:sz w:val="24"/>
          <w:szCs w:val="24"/>
          <w:u w:val="single"/>
        </w:rPr>
        <w:t>2026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EFFECTIVE DATE:</w:t>
      </w:r>
      <w:r w:rsidR="00201296">
        <w:rPr>
          <w:sz w:val="24"/>
          <w:szCs w:val="24"/>
        </w:rPr>
        <w:t xml:space="preserve"> </w:t>
      </w:r>
      <w:r w:rsidR="00201296" w:rsidRPr="00B92F3B">
        <w:rPr>
          <w:sz w:val="24"/>
          <w:szCs w:val="24"/>
          <w:u w:val="single"/>
        </w:rPr>
        <w:t>March 26, 2026</w:t>
      </w:r>
    </w:p>
    <w:p w14:paraId="5CF758AB" w14:textId="77777777" w:rsidR="00411935" w:rsidRDefault="0010604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811745C" w14:textId="77777777" w:rsidR="00415284" w:rsidRPr="008E2FF4" w:rsidRDefault="00415284">
      <w:pPr>
        <w:rPr>
          <w:sz w:val="24"/>
          <w:szCs w:val="24"/>
        </w:rPr>
      </w:pPr>
    </w:p>
    <w:p w14:paraId="725C273A" w14:textId="77777777" w:rsidR="00E63F58" w:rsidRDefault="00E63F58" w:rsidP="00E63F58">
      <w:pPr>
        <w:rPr>
          <w:sz w:val="24"/>
          <w:szCs w:val="24"/>
        </w:rPr>
      </w:pPr>
      <w:r w:rsidRPr="00E63F58">
        <w:rPr>
          <w:sz w:val="24"/>
          <w:szCs w:val="24"/>
        </w:rPr>
        <w:t>The Highland Community College Board of Trustees supports the continued academic growth of full-time Classified and Administrative Employees by offering tuition reimbursement for approved coursework at accredited institutions.</w:t>
      </w:r>
    </w:p>
    <w:p w14:paraId="182F2533" w14:textId="77777777" w:rsidR="00E63F58" w:rsidRPr="00E63F58" w:rsidRDefault="00E63F58" w:rsidP="00E63F58">
      <w:pPr>
        <w:rPr>
          <w:sz w:val="24"/>
          <w:szCs w:val="24"/>
        </w:rPr>
      </w:pPr>
    </w:p>
    <w:p w14:paraId="5459C0B3" w14:textId="77777777" w:rsidR="00E63F58" w:rsidRDefault="00E63F58" w:rsidP="00E63F58">
      <w:pPr>
        <w:rPr>
          <w:sz w:val="24"/>
          <w:szCs w:val="24"/>
        </w:rPr>
      </w:pPr>
      <w:r w:rsidRPr="00E63F58">
        <w:rPr>
          <w:sz w:val="24"/>
          <w:szCs w:val="24"/>
        </w:rPr>
        <w:t xml:space="preserve">Employees may be reimbursed for out-of-pocket tuition expenses (amounts not covered by grants or scholarships) up to $200 per credit hour, or the actual cost of the course—whichever is less—for coursework applied toward an </w:t>
      </w:r>
      <w:proofErr w:type="gramStart"/>
      <w:r w:rsidRPr="00E63F58">
        <w:rPr>
          <w:sz w:val="24"/>
          <w:szCs w:val="24"/>
        </w:rPr>
        <w:t>Associate or Bachelor’s</w:t>
      </w:r>
      <w:proofErr w:type="gramEnd"/>
      <w:r w:rsidRPr="00E63F58">
        <w:rPr>
          <w:sz w:val="24"/>
          <w:szCs w:val="24"/>
        </w:rPr>
        <w:t xml:space="preserve"> degree.</w:t>
      </w:r>
    </w:p>
    <w:p w14:paraId="5F290DC4" w14:textId="77777777" w:rsidR="00E63F58" w:rsidRPr="00E63F58" w:rsidRDefault="00E63F58" w:rsidP="00E63F58">
      <w:pPr>
        <w:rPr>
          <w:sz w:val="24"/>
          <w:szCs w:val="24"/>
        </w:rPr>
      </w:pPr>
    </w:p>
    <w:p w14:paraId="12426AC6" w14:textId="77777777" w:rsidR="00E63F58" w:rsidRPr="00E63F58" w:rsidRDefault="00E63F58" w:rsidP="00E63F58">
      <w:pPr>
        <w:rPr>
          <w:sz w:val="24"/>
          <w:szCs w:val="24"/>
        </w:rPr>
      </w:pPr>
      <w:r w:rsidRPr="00E63F58">
        <w:rPr>
          <w:sz w:val="24"/>
          <w:szCs w:val="24"/>
        </w:rPr>
        <w:t>For coursework applied toward a Master’s or Doctorate degree, the College will reimburse up to $400 per credit hour, or the actual cost of the course—whichever is less.</w:t>
      </w:r>
    </w:p>
    <w:p w14:paraId="1906D5F2" w14:textId="77777777" w:rsidR="00E63F58" w:rsidRPr="00E63F58" w:rsidRDefault="00E63F58" w:rsidP="00E63F58">
      <w:pPr>
        <w:rPr>
          <w:sz w:val="24"/>
          <w:szCs w:val="24"/>
        </w:rPr>
      </w:pPr>
      <w:r w:rsidRPr="00E63F58">
        <w:rPr>
          <w:sz w:val="24"/>
          <w:szCs w:val="24"/>
        </w:rPr>
        <w:t>Reimbursement is subject to the following provisions:</w:t>
      </w:r>
    </w:p>
    <w:p w14:paraId="3A00E186" w14:textId="77777777" w:rsidR="00CE0C72" w:rsidRPr="008E2FF4" w:rsidRDefault="00CE0C72">
      <w:pPr>
        <w:rPr>
          <w:sz w:val="24"/>
          <w:szCs w:val="24"/>
        </w:rPr>
      </w:pPr>
    </w:p>
    <w:p w14:paraId="4ED8ABF8" w14:textId="77777777" w:rsidR="00CE0C72" w:rsidRPr="008E2FF4" w:rsidRDefault="00CE0C72" w:rsidP="00CE0C72">
      <w:pPr>
        <w:numPr>
          <w:ilvl w:val="0"/>
          <w:numId w:val="1"/>
        </w:numPr>
        <w:rPr>
          <w:sz w:val="24"/>
          <w:szCs w:val="24"/>
        </w:rPr>
      </w:pPr>
      <w:r w:rsidRPr="008E2FF4">
        <w:rPr>
          <w:sz w:val="24"/>
          <w:szCs w:val="24"/>
        </w:rPr>
        <w:t>The employee must be employed in a full-time regular position at the college on the first day and last day of the class, and</w:t>
      </w:r>
    </w:p>
    <w:p w14:paraId="694A1E36" w14:textId="0CB81649" w:rsidR="00CE0C72" w:rsidRPr="008E2FF4" w:rsidRDefault="00903121" w:rsidP="00CE0C7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72A43" w:rsidRPr="005F1D99">
        <w:rPr>
          <w:sz w:val="24"/>
          <w:szCs w:val="24"/>
        </w:rPr>
        <w:t xml:space="preserve">Application for Approval of Tuition Reimbursement </w:t>
      </w:r>
      <w:r w:rsidR="00F72A43">
        <w:rPr>
          <w:sz w:val="24"/>
          <w:szCs w:val="24"/>
        </w:rPr>
        <w:t>F</w:t>
      </w:r>
      <w:r>
        <w:rPr>
          <w:sz w:val="24"/>
          <w:szCs w:val="24"/>
        </w:rPr>
        <w:t>orm</w:t>
      </w:r>
      <w:r w:rsidR="00CE0C72" w:rsidRPr="008E2FF4">
        <w:rPr>
          <w:sz w:val="24"/>
          <w:szCs w:val="24"/>
        </w:rPr>
        <w:t xml:space="preserve"> must be submitted to and approved by the employee’s immediate supervisor, their Vice-President, and the President </w:t>
      </w:r>
      <w:r w:rsidR="00CE0C72" w:rsidRPr="008E2FF4">
        <w:rPr>
          <w:b/>
          <w:bCs/>
          <w:i/>
          <w:iCs/>
          <w:sz w:val="24"/>
          <w:szCs w:val="24"/>
        </w:rPr>
        <w:t>prior</w:t>
      </w:r>
      <w:r w:rsidR="00CE0C72" w:rsidRPr="008E2FF4">
        <w:rPr>
          <w:sz w:val="24"/>
          <w:szCs w:val="24"/>
        </w:rPr>
        <w:t xml:space="preserve"> to course enrollment. The employee’s supervisor must certify that the course is related to the employee’s </w:t>
      </w:r>
      <w:r w:rsidR="00181846">
        <w:rPr>
          <w:sz w:val="24"/>
          <w:szCs w:val="24"/>
        </w:rPr>
        <w:t xml:space="preserve">program plan and </w:t>
      </w:r>
      <w:r w:rsidR="00CE0C72" w:rsidRPr="008E2FF4">
        <w:rPr>
          <w:sz w:val="24"/>
          <w:szCs w:val="24"/>
        </w:rPr>
        <w:t>current college position or is designed to enhance the employee’s future job performance, and</w:t>
      </w:r>
    </w:p>
    <w:p w14:paraId="5B75E4A4" w14:textId="77777777" w:rsidR="00903121" w:rsidRDefault="00CE0C72" w:rsidP="006A4AC1">
      <w:pPr>
        <w:numPr>
          <w:ilvl w:val="0"/>
          <w:numId w:val="1"/>
        </w:numPr>
        <w:rPr>
          <w:sz w:val="24"/>
          <w:szCs w:val="24"/>
        </w:rPr>
      </w:pPr>
      <w:r w:rsidRPr="00903121">
        <w:rPr>
          <w:sz w:val="24"/>
          <w:szCs w:val="24"/>
        </w:rPr>
        <w:t xml:space="preserve">The course must be successfully completed meaning that a grade of "C" or better is attained in the course </w:t>
      </w:r>
      <w:r w:rsidR="00903121">
        <w:rPr>
          <w:sz w:val="24"/>
          <w:szCs w:val="24"/>
        </w:rPr>
        <w:t>or "pass" in a pass/fail course, and</w:t>
      </w:r>
    </w:p>
    <w:p w14:paraId="54D15E6A" w14:textId="77777777" w:rsidR="00CE0C72" w:rsidRPr="00903121" w:rsidRDefault="00CE0C72" w:rsidP="006A4AC1">
      <w:pPr>
        <w:numPr>
          <w:ilvl w:val="0"/>
          <w:numId w:val="1"/>
        </w:numPr>
        <w:rPr>
          <w:sz w:val="24"/>
          <w:szCs w:val="24"/>
        </w:rPr>
      </w:pPr>
      <w:r w:rsidRPr="00903121">
        <w:rPr>
          <w:sz w:val="24"/>
          <w:szCs w:val="24"/>
        </w:rPr>
        <w:t xml:space="preserve">The </w:t>
      </w:r>
      <w:r w:rsidR="00903121" w:rsidRPr="00903121">
        <w:rPr>
          <w:sz w:val="24"/>
          <w:szCs w:val="24"/>
        </w:rPr>
        <w:t>employee shall be responsible for scheduling</w:t>
      </w:r>
      <w:r w:rsidRPr="00903121">
        <w:rPr>
          <w:sz w:val="24"/>
          <w:szCs w:val="24"/>
        </w:rPr>
        <w:t xml:space="preserve"> class and class preparation time in such a way that it does not interfere with working hours or job performance. Tuition reimbursement shall not be allowed for withdrawals, audit courses, APL, CLEP, GED, or similar courses.</w:t>
      </w:r>
    </w:p>
    <w:p w14:paraId="7F1FE57E" w14:textId="77777777" w:rsidR="00CE0C72" w:rsidRDefault="00CE0C72">
      <w:pPr>
        <w:rPr>
          <w:sz w:val="24"/>
          <w:szCs w:val="24"/>
        </w:rPr>
      </w:pPr>
    </w:p>
    <w:p w14:paraId="05B3FC93" w14:textId="77777777" w:rsidR="005A6204" w:rsidRDefault="005A6204">
      <w:pPr>
        <w:rPr>
          <w:sz w:val="24"/>
          <w:szCs w:val="24"/>
        </w:rPr>
      </w:pPr>
      <w:r w:rsidRPr="005A6204">
        <w:rPr>
          <w:sz w:val="24"/>
          <w:szCs w:val="24"/>
        </w:rPr>
        <w:t>The cost of books, supplies, tools, and other related educational expenses are</w:t>
      </w:r>
      <w:r>
        <w:rPr>
          <w:sz w:val="24"/>
          <w:szCs w:val="24"/>
        </w:rPr>
        <w:t xml:space="preserve"> not eligible for reimbursement.</w:t>
      </w:r>
    </w:p>
    <w:p w14:paraId="42F56DE3" w14:textId="40F7F680" w:rsidR="00F72A43" w:rsidRPr="005F1D99" w:rsidRDefault="00F72A43">
      <w:pPr>
        <w:rPr>
          <w:sz w:val="24"/>
          <w:szCs w:val="24"/>
        </w:rPr>
      </w:pPr>
      <w:r w:rsidRPr="005F1D99">
        <w:rPr>
          <w:sz w:val="24"/>
          <w:szCs w:val="24"/>
        </w:rPr>
        <w:t>The Application for Approval of Tuition Reimbursement Form is available from Human Resources.</w:t>
      </w:r>
    </w:p>
    <w:p w14:paraId="64ED5929" w14:textId="77777777" w:rsidR="005A6204" w:rsidRPr="00F72A43" w:rsidRDefault="005A6204">
      <w:pPr>
        <w:rPr>
          <w:color w:val="FF0000"/>
          <w:sz w:val="24"/>
          <w:szCs w:val="24"/>
        </w:rPr>
      </w:pPr>
    </w:p>
    <w:p w14:paraId="008257DC" w14:textId="77777777" w:rsidR="00234317" w:rsidRPr="003C44D4" w:rsidRDefault="00234317">
      <w:pPr>
        <w:rPr>
          <w:b/>
          <w:sz w:val="24"/>
          <w:szCs w:val="24"/>
        </w:rPr>
      </w:pPr>
      <w:r w:rsidRPr="003C44D4">
        <w:rPr>
          <w:b/>
          <w:sz w:val="24"/>
          <w:szCs w:val="24"/>
        </w:rPr>
        <w:t>REIMBURSEMENT PROCEDURES</w:t>
      </w:r>
    </w:p>
    <w:p w14:paraId="23713DDC" w14:textId="77777777" w:rsidR="00234317" w:rsidRDefault="00CE0C72" w:rsidP="00CE0C72">
      <w:pPr>
        <w:rPr>
          <w:sz w:val="24"/>
          <w:szCs w:val="24"/>
        </w:rPr>
      </w:pPr>
      <w:r w:rsidRPr="008E2FF4">
        <w:rPr>
          <w:sz w:val="24"/>
          <w:szCs w:val="24"/>
        </w:rPr>
        <w:t>In order to receive tuition reimbursement, the employee must submit</w:t>
      </w:r>
      <w:r w:rsidR="00903121">
        <w:rPr>
          <w:sz w:val="24"/>
          <w:szCs w:val="24"/>
        </w:rPr>
        <w:t xml:space="preserve"> to Human Resources the request for reimbursement within 60 days following the successful completion of the course.</w:t>
      </w:r>
      <w:r w:rsidRPr="008E2FF4">
        <w:rPr>
          <w:sz w:val="24"/>
          <w:szCs w:val="24"/>
        </w:rPr>
        <w:t>  The re</w:t>
      </w:r>
      <w:r w:rsidR="00234317">
        <w:rPr>
          <w:sz w:val="24"/>
          <w:szCs w:val="24"/>
        </w:rPr>
        <w:t>imbursement request must contain:</w:t>
      </w:r>
    </w:p>
    <w:p w14:paraId="4A5ED778" w14:textId="79298B30" w:rsidR="00903121" w:rsidRPr="00903121" w:rsidRDefault="00903121" w:rsidP="0090312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Purchase Requisition payable to the Employee indicating the course taken, semester in which it was taken, </w:t>
      </w:r>
      <w:r w:rsidR="005A6204">
        <w:rPr>
          <w:sz w:val="24"/>
          <w:szCs w:val="24"/>
        </w:rPr>
        <w:t>and the cost of reimbursable tuition (the cost of tuition or $200</w:t>
      </w:r>
      <w:r w:rsidR="00E63F58">
        <w:rPr>
          <w:sz w:val="24"/>
          <w:szCs w:val="24"/>
        </w:rPr>
        <w:t xml:space="preserve"> or $400</w:t>
      </w:r>
      <w:r w:rsidR="005A6204">
        <w:rPr>
          <w:sz w:val="24"/>
          <w:szCs w:val="24"/>
        </w:rPr>
        <w:t xml:space="preserve"> per credit hour, whichever is less);</w:t>
      </w:r>
    </w:p>
    <w:p w14:paraId="337D04ED" w14:textId="77777777" w:rsidR="00903121" w:rsidRPr="00903121" w:rsidRDefault="00903121" w:rsidP="0090312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copy of the pre-approved Request for Reimbursement form</w:t>
      </w:r>
      <w:r w:rsidR="005A6204">
        <w:rPr>
          <w:sz w:val="24"/>
          <w:szCs w:val="24"/>
        </w:rPr>
        <w:t>;</w:t>
      </w:r>
    </w:p>
    <w:p w14:paraId="5E32D0A9" w14:textId="77777777" w:rsidR="00234317" w:rsidRDefault="00234317" w:rsidP="002343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34317">
        <w:rPr>
          <w:sz w:val="24"/>
          <w:szCs w:val="24"/>
        </w:rPr>
        <w:t>A</w:t>
      </w:r>
      <w:r>
        <w:rPr>
          <w:sz w:val="24"/>
          <w:szCs w:val="24"/>
        </w:rPr>
        <w:t>n authorized student account history/receipt which reflects the out-of-pocket tuition expenses;</w:t>
      </w:r>
    </w:p>
    <w:p w14:paraId="5E7BD80E" w14:textId="77777777" w:rsidR="00CE0C72" w:rsidRDefault="00234317" w:rsidP="0023431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CE0C72" w:rsidRPr="00234317">
        <w:rPr>
          <w:sz w:val="24"/>
          <w:szCs w:val="24"/>
        </w:rPr>
        <w:t xml:space="preserve"> copy of a</w:t>
      </w:r>
      <w:r w:rsidRPr="00234317">
        <w:rPr>
          <w:sz w:val="24"/>
          <w:szCs w:val="24"/>
        </w:rPr>
        <w:t>n authorized</w:t>
      </w:r>
      <w:r w:rsidR="00CE0C72" w:rsidRPr="00234317">
        <w:rPr>
          <w:sz w:val="24"/>
          <w:szCs w:val="24"/>
        </w:rPr>
        <w:t xml:space="preserve"> grade report showing successful completion of the course(s)</w:t>
      </w:r>
      <w:r w:rsidRPr="00234317">
        <w:rPr>
          <w:sz w:val="24"/>
          <w:szCs w:val="24"/>
        </w:rPr>
        <w:t xml:space="preserve"> with a grade of “C” or better</w:t>
      </w:r>
      <w:r w:rsidR="005A6204">
        <w:rPr>
          <w:sz w:val="24"/>
          <w:szCs w:val="24"/>
        </w:rPr>
        <w:t>,</w:t>
      </w:r>
      <w:r w:rsidRPr="00234317">
        <w:rPr>
          <w:sz w:val="24"/>
          <w:szCs w:val="24"/>
        </w:rPr>
        <w:t xml:space="preserve"> or a “Pass” in a pass/fail course</w:t>
      </w:r>
      <w:r w:rsidR="005A6204">
        <w:rPr>
          <w:sz w:val="24"/>
          <w:szCs w:val="24"/>
        </w:rPr>
        <w:t>.</w:t>
      </w:r>
    </w:p>
    <w:p w14:paraId="501C8A2B" w14:textId="77777777" w:rsidR="00E14CEE" w:rsidRPr="00234317" w:rsidRDefault="00E14CEE" w:rsidP="00E14C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4CEE">
        <w:rPr>
          <w:sz w:val="24"/>
          <w:szCs w:val="24"/>
        </w:rPr>
        <w:t>Any falsification or misrepresentation of information will result in the denial of reimbursement and may be grounds for appropriate disciplinary action.</w:t>
      </w:r>
    </w:p>
    <w:p w14:paraId="71ED81D6" w14:textId="77777777" w:rsidR="00CE0C72" w:rsidRDefault="00CE0C72">
      <w:pPr>
        <w:rPr>
          <w:sz w:val="24"/>
          <w:szCs w:val="24"/>
        </w:rPr>
      </w:pPr>
    </w:p>
    <w:p w14:paraId="3F9AF65D" w14:textId="77777777" w:rsidR="00181846" w:rsidRDefault="003C44D4" w:rsidP="000C15B8">
      <w:pPr>
        <w:rPr>
          <w:sz w:val="24"/>
          <w:szCs w:val="24"/>
        </w:rPr>
      </w:pPr>
      <w:r>
        <w:rPr>
          <w:b/>
          <w:sz w:val="24"/>
          <w:szCs w:val="24"/>
        </w:rPr>
        <w:t>EMPLOYEE OBLIGATION</w:t>
      </w:r>
    </w:p>
    <w:p w14:paraId="4EB185CC" w14:textId="49CDAB8B" w:rsidR="000C15B8" w:rsidRPr="000C15B8" w:rsidRDefault="00E14CEE" w:rsidP="000C15B8">
      <w:pPr>
        <w:rPr>
          <w:sz w:val="24"/>
          <w:szCs w:val="24"/>
        </w:rPr>
      </w:pPr>
      <w:r>
        <w:rPr>
          <w:sz w:val="24"/>
          <w:szCs w:val="24"/>
        </w:rPr>
        <w:t xml:space="preserve">If the Employee </w:t>
      </w:r>
      <w:r w:rsidR="000C15B8" w:rsidRPr="000C15B8">
        <w:rPr>
          <w:sz w:val="24"/>
          <w:szCs w:val="24"/>
        </w:rPr>
        <w:t>le</w:t>
      </w:r>
      <w:r>
        <w:rPr>
          <w:sz w:val="24"/>
          <w:szCs w:val="24"/>
        </w:rPr>
        <w:t>aves or resigns within one year</w:t>
      </w:r>
      <w:r w:rsidR="000C15B8" w:rsidRPr="000C15B8">
        <w:rPr>
          <w:sz w:val="24"/>
          <w:szCs w:val="24"/>
        </w:rPr>
        <w:t xml:space="preserve"> of receiving tuition reimbursement</w:t>
      </w:r>
      <w:r>
        <w:rPr>
          <w:sz w:val="24"/>
          <w:szCs w:val="24"/>
        </w:rPr>
        <w:t>, the Employee must reimburse the College for tuition assistance received within th</w:t>
      </w:r>
      <w:r w:rsidR="00181846">
        <w:rPr>
          <w:sz w:val="24"/>
          <w:szCs w:val="24"/>
        </w:rPr>
        <w:t>e past 12 months.</w:t>
      </w:r>
    </w:p>
    <w:sectPr w:rsidR="000C15B8" w:rsidRPr="000C15B8" w:rsidSect="00071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6E3F"/>
    <w:multiLevelType w:val="hybridMultilevel"/>
    <w:tmpl w:val="2556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433"/>
    <w:multiLevelType w:val="multilevel"/>
    <w:tmpl w:val="314A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172228">
    <w:abstractNumId w:val="1"/>
  </w:num>
  <w:num w:numId="2" w16cid:durableId="134921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35"/>
    <w:rsid w:val="000713C0"/>
    <w:rsid w:val="000C15B8"/>
    <w:rsid w:val="0010604E"/>
    <w:rsid w:val="00166C27"/>
    <w:rsid w:val="00181846"/>
    <w:rsid w:val="001F4382"/>
    <w:rsid w:val="00201296"/>
    <w:rsid w:val="00234317"/>
    <w:rsid w:val="002836F9"/>
    <w:rsid w:val="002D1F4C"/>
    <w:rsid w:val="003C44D4"/>
    <w:rsid w:val="00405977"/>
    <w:rsid w:val="00411935"/>
    <w:rsid w:val="00415284"/>
    <w:rsid w:val="005A6204"/>
    <w:rsid w:val="005F1D99"/>
    <w:rsid w:val="006879A6"/>
    <w:rsid w:val="006A41E7"/>
    <w:rsid w:val="007254C8"/>
    <w:rsid w:val="007421CB"/>
    <w:rsid w:val="008E2FF4"/>
    <w:rsid w:val="00903121"/>
    <w:rsid w:val="00AD2498"/>
    <w:rsid w:val="00B57B8E"/>
    <w:rsid w:val="00B92F3B"/>
    <w:rsid w:val="00C9424B"/>
    <w:rsid w:val="00CD722F"/>
    <w:rsid w:val="00CE0C72"/>
    <w:rsid w:val="00D34D76"/>
    <w:rsid w:val="00D97B85"/>
    <w:rsid w:val="00DE4B87"/>
    <w:rsid w:val="00E04B53"/>
    <w:rsid w:val="00E07E03"/>
    <w:rsid w:val="00E14CEE"/>
    <w:rsid w:val="00E63F58"/>
    <w:rsid w:val="00F72A43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D2FC"/>
  <w15:chartTrackingRefBased/>
  <w15:docId w15:val="{06F8AF10-116B-46BD-9D1C-305AE10A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1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3712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217">
                          <w:marLeft w:val="4043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7821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83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2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404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49930">
                          <w:marLeft w:val="4043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8894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7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8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ronniger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Gronniger</dc:creator>
  <cp:keywords/>
  <dc:description/>
  <cp:lastModifiedBy>Karen Meeks</cp:lastModifiedBy>
  <cp:revision>3</cp:revision>
  <cp:lastPrinted>2026-04-02T14:17:00Z</cp:lastPrinted>
  <dcterms:created xsi:type="dcterms:W3CDTF">2026-04-02T14:23:00Z</dcterms:created>
  <dcterms:modified xsi:type="dcterms:W3CDTF">2026-06-01T20:13:00Z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